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56" w:rsidRDefault="00842D56" w:rsidP="00A24828">
      <w:pPr>
        <w:spacing w:line="276" w:lineRule="auto"/>
        <w:jc w:val="both"/>
      </w:pPr>
    </w:p>
    <w:p w:rsidR="00A24828" w:rsidRPr="00042AA3" w:rsidRDefault="00A24828" w:rsidP="00A24828">
      <w:pPr>
        <w:spacing w:line="276" w:lineRule="auto"/>
        <w:jc w:val="both"/>
        <w:rPr>
          <w:b/>
          <w:sz w:val="22"/>
          <w:szCs w:val="22"/>
        </w:rPr>
      </w:pPr>
      <w:r w:rsidRPr="00042AA3">
        <w:rPr>
          <w:sz w:val="22"/>
          <w:szCs w:val="22"/>
        </w:rPr>
        <w:t xml:space="preserve"> </w:t>
      </w:r>
      <w:r w:rsidRPr="00042AA3">
        <w:rPr>
          <w:b/>
          <w:sz w:val="22"/>
          <w:szCs w:val="22"/>
        </w:rPr>
        <w:t>ÖZELLİKLERİ</w:t>
      </w:r>
    </w:p>
    <w:p w:rsidR="00842D56" w:rsidRDefault="00842D56" w:rsidP="00A24828">
      <w:pPr>
        <w:spacing w:line="276" w:lineRule="auto"/>
        <w:ind w:left="708"/>
        <w:jc w:val="both"/>
        <w:rPr>
          <w:sz w:val="22"/>
          <w:szCs w:val="22"/>
        </w:rPr>
      </w:pPr>
    </w:p>
    <w:p w:rsidR="00A24828" w:rsidRPr="00042AA3" w:rsidRDefault="00A24828" w:rsidP="009B3A4E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Fırat</w:t>
      </w:r>
      <w:r w:rsidRPr="00042AA3">
        <w:rPr>
          <w:rFonts w:eastAsia="Calibri"/>
          <w:sz w:val="22"/>
          <w:szCs w:val="22"/>
          <w:lang w:eastAsia="en-US"/>
        </w:rPr>
        <w:t xml:space="preserve"> Üniversitesi Veteriner Fakültesi Öğretim Elemanı olarak 2547 sayılı Yükseköğretim Kanununda yer almaktadır.</w:t>
      </w:r>
    </w:p>
    <w:p w:rsidR="00842D56" w:rsidRDefault="00842D56" w:rsidP="009B3A4E">
      <w:pPr>
        <w:spacing w:line="276" w:lineRule="auto"/>
        <w:ind w:hanging="708"/>
        <w:jc w:val="both"/>
        <w:rPr>
          <w:rFonts w:eastAsia="Calibri"/>
          <w:sz w:val="22"/>
          <w:szCs w:val="22"/>
          <w:lang w:eastAsia="en-US"/>
        </w:rPr>
      </w:pPr>
    </w:p>
    <w:p w:rsidR="00A24828" w:rsidRPr="00042AA3" w:rsidRDefault="00A24828" w:rsidP="00A24828">
      <w:pPr>
        <w:spacing w:line="276" w:lineRule="auto"/>
        <w:jc w:val="both"/>
        <w:rPr>
          <w:b/>
          <w:sz w:val="22"/>
          <w:szCs w:val="22"/>
        </w:rPr>
      </w:pPr>
      <w:r w:rsidRPr="00042AA3">
        <w:rPr>
          <w:sz w:val="22"/>
          <w:szCs w:val="22"/>
        </w:rPr>
        <w:t xml:space="preserve"> </w:t>
      </w:r>
      <w:r w:rsidRPr="00042AA3">
        <w:rPr>
          <w:b/>
          <w:sz w:val="22"/>
          <w:szCs w:val="22"/>
        </w:rPr>
        <w:t>GÖREVLERİ</w:t>
      </w:r>
    </w:p>
    <w:p w:rsidR="00A24828" w:rsidRPr="00042AA3" w:rsidRDefault="00A24828" w:rsidP="00A24828">
      <w:pPr>
        <w:spacing w:line="276" w:lineRule="auto"/>
        <w:jc w:val="both"/>
        <w:rPr>
          <w:sz w:val="22"/>
          <w:szCs w:val="22"/>
        </w:rPr>
      </w:pP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1. 657 sayılı Devlet Memurları Kanununun 11. Maddesi ve Anayasanın 137. Maddesi kapsamında katıldığı toplantılarda görevlerini yapmak,  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2. Anabilim Dalından gelen 6698 sayılı KVK kanunu ve resmi yazışma usulüne uygun evrakları Dekanlığa göndermek, 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3. Poliklinik ve acil hizmetlerinin düzenli ve etkin biçim çalışmasını sağlamak,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4. Klinik ve acil nöbetlerinde görev alan Öğretim Elemanları ve Veteriner Hekimlerin koordinasyonunu yapmak, görev ve sorumluluklarını denetlemek, nöbetleri planlamak,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5. Nöbet hizmetinde görev alan öğrencilerin nöbetlerini ve iş akışını planlamak, katılımlarını sağlamak,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6. Hastane birimlerinin koordinasyonlu çalışmasını ve ihtiyaçların giderilmesini sağlamak,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7. Hastane iş akış ve görev tanımlarının hazırlanmasını sağlamak,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8. Hastaneye alınması gerekli cihazları belirlemek ve alımını planlamak,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9. Hastanede çalışan personelin, öğrencilerin ve hizmet alan kişilerin iş sağlığı, güvenliği ve </w:t>
      </w:r>
      <w:proofErr w:type="spellStart"/>
      <w:r w:rsidRPr="0075154F">
        <w:rPr>
          <w:rFonts w:eastAsiaTheme="minorHAnsi" w:cstheme="minorBidi"/>
          <w:sz w:val="22"/>
          <w:szCs w:val="22"/>
          <w:lang w:eastAsia="en-US"/>
        </w:rPr>
        <w:t>biyogüvenliği</w:t>
      </w:r>
      <w:proofErr w:type="spellEnd"/>
      <w:r w:rsidRPr="0075154F">
        <w:rPr>
          <w:rFonts w:eastAsiaTheme="minorHAnsi" w:cstheme="minorBidi"/>
          <w:sz w:val="22"/>
          <w:szCs w:val="22"/>
          <w:lang w:eastAsia="en-US"/>
        </w:rPr>
        <w:t xml:space="preserve"> ile ilgili gerekli düzenlemeleri yapmak, bu konudaki ihtiyaçları Dekanlığa bildirmek, 10. Hastanede güvenlik birimiyle koordinasyon kurarak çalışan ve hasta güvenliğini sağlanmak, 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11. Hastane içi öğrenci uygulamalarını düzenlenmek, koordine etmek, kontrol etmek, öğrenci uygulamalarında kullanılan hayvanların bakımını, beslenmesini, sevkini ve idaresini düzenlemek,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12. Protokol ile tedavisi yapılan hayvanların hastaneye giriş ve çıkışlarını düzenlemek ve ilgili kurumlarla koordinasyonu sağlamak,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13. Hastane personeli, öğrenci ve hayvanlarla ilgili iş sağlığı güvenliği ve </w:t>
      </w:r>
      <w:proofErr w:type="spellStart"/>
      <w:r w:rsidRPr="0075154F">
        <w:rPr>
          <w:rFonts w:eastAsiaTheme="minorHAnsi" w:cstheme="minorBidi"/>
          <w:sz w:val="22"/>
          <w:szCs w:val="22"/>
          <w:lang w:eastAsia="en-US"/>
        </w:rPr>
        <w:t>biyogüvenlik</w:t>
      </w:r>
      <w:proofErr w:type="spellEnd"/>
      <w:r w:rsidRPr="0075154F">
        <w:rPr>
          <w:rFonts w:eastAsiaTheme="minorHAnsi" w:cstheme="minorBidi"/>
          <w:sz w:val="22"/>
          <w:szCs w:val="22"/>
          <w:lang w:eastAsia="en-US"/>
        </w:rPr>
        <w:t xml:space="preserve"> eğitiminin alınmasını bu kurallara uyulmasını sağlamak,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14. </w:t>
      </w:r>
      <w:proofErr w:type="spellStart"/>
      <w:r w:rsidRPr="0075154F">
        <w:rPr>
          <w:rFonts w:eastAsiaTheme="minorHAnsi" w:cstheme="minorBidi"/>
          <w:sz w:val="22"/>
          <w:szCs w:val="22"/>
          <w:lang w:eastAsia="en-US"/>
        </w:rPr>
        <w:t>Hospitalizasyon</w:t>
      </w:r>
      <w:proofErr w:type="spellEnd"/>
      <w:r w:rsidRPr="0075154F">
        <w:rPr>
          <w:rFonts w:eastAsiaTheme="minorHAnsi" w:cstheme="minorBidi"/>
          <w:sz w:val="22"/>
          <w:szCs w:val="22"/>
          <w:lang w:eastAsia="en-US"/>
        </w:rPr>
        <w:t xml:space="preserve"> ünitesinin temizliği, bakımı ve işleyişini düzenlemek,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15. Tıbbi ve kimyasal atıkların toplanmasını kontrol etmek, atık ünitesine ve bertaraf firmasına gönderilmesini sağlamak, 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16. Merkez laboratuvarının düzenli çalışmasını sağlamak ve ihtiyaçlarını gidermek,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>17. Hastane akademik ve idari personelin çalışmalarını koordine etmek,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18. Hastanede görevli akademik ve idari personelin uyumlu çalışmasını sağlamak,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19. Hastane ile ilgili şikâyetleri incelemek, değerlendirmek ve raporlamak,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20. Hastanenin EAEVE ve VEDEK ziyaretlerine hazır hale getirilmesini sağlamak, bu konuda komisyonlarla koordineli olarak çalışmak, </w:t>
      </w:r>
    </w:p>
    <w:p w:rsid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 xml:space="preserve">21. Hastanedeki işleyişi etik kurallara uygun şekilde yönetmek, iç kontrol faaliyetlerine katılmak, </w:t>
      </w:r>
    </w:p>
    <w:p w:rsidR="00ED1D87" w:rsidRPr="0075154F" w:rsidRDefault="0075154F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75154F">
        <w:rPr>
          <w:rFonts w:eastAsiaTheme="minorHAnsi" w:cstheme="minorBidi"/>
          <w:sz w:val="22"/>
          <w:szCs w:val="22"/>
          <w:lang w:eastAsia="en-US"/>
        </w:rPr>
        <w:t>22. Dekanın vereceği alanıyla ilgili diğer görevleri yapmak,</w:t>
      </w:r>
    </w:p>
    <w:p w:rsidR="00B577DB" w:rsidRDefault="00B577DB"/>
    <w:sectPr w:rsidR="00B57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EE" w:rsidRDefault="00EA23EE" w:rsidP="00817441">
      <w:r>
        <w:separator/>
      </w:r>
    </w:p>
  </w:endnote>
  <w:endnote w:type="continuationSeparator" w:id="0">
    <w:p w:rsidR="00EA23EE" w:rsidRDefault="00EA23EE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103FDB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EE" w:rsidRDefault="00EA23EE" w:rsidP="00817441">
      <w:r>
        <w:separator/>
      </w:r>
    </w:p>
  </w:footnote>
  <w:footnote w:type="continuationSeparator" w:id="0">
    <w:p w:rsidR="00EA23EE" w:rsidRDefault="00EA23EE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842D56" w:rsidP="00F12C29">
          <w:pPr>
            <w:pStyle w:val="stBilgi"/>
            <w:jc w:val="center"/>
            <w:rPr>
              <w:b/>
            </w:rPr>
          </w:pPr>
          <w:r>
            <w:rPr>
              <w:b/>
            </w:rPr>
            <w:t>BAŞHEKİM</w:t>
          </w:r>
          <w:r w:rsidR="00A24828">
            <w:rPr>
              <w:b/>
            </w:rPr>
            <w:t xml:space="preserve">         </w:t>
          </w:r>
          <w:r w:rsidR="00817441" w:rsidRPr="00B577DB">
            <w:rPr>
              <w:b/>
            </w:rPr>
            <w:t xml:space="preserve"> </w:t>
          </w:r>
          <w:r>
            <w:rPr>
              <w:b/>
            </w:rPr>
            <w:t xml:space="preserve">            </w:t>
          </w:r>
          <w:r w:rsidR="00817441" w:rsidRPr="00B577DB">
            <w:rPr>
              <w:b/>
            </w:rPr>
            <w:t>GÖREV TANIMI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707B7F">
            <w:t xml:space="preserve">  04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707B7F">
          <w:pPr>
            <w:pStyle w:val="stBilgi"/>
          </w:pPr>
          <w:r>
            <w:t>18.04.2025</w:t>
          </w:r>
          <w:bookmarkStart w:id="0" w:name="_GoBack"/>
          <w:bookmarkEnd w:id="0"/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103FDB"/>
    <w:rsid w:val="001430D1"/>
    <w:rsid w:val="00364DEC"/>
    <w:rsid w:val="00475450"/>
    <w:rsid w:val="00476346"/>
    <w:rsid w:val="006C5194"/>
    <w:rsid w:val="00707B7F"/>
    <w:rsid w:val="0075154F"/>
    <w:rsid w:val="00802E5D"/>
    <w:rsid w:val="00817441"/>
    <w:rsid w:val="008374AB"/>
    <w:rsid w:val="00842D56"/>
    <w:rsid w:val="008F018C"/>
    <w:rsid w:val="00966EB0"/>
    <w:rsid w:val="009B3A4E"/>
    <w:rsid w:val="00A24828"/>
    <w:rsid w:val="00B577DB"/>
    <w:rsid w:val="00BC1BA2"/>
    <w:rsid w:val="00C9471C"/>
    <w:rsid w:val="00DE4DED"/>
    <w:rsid w:val="00E90B37"/>
    <w:rsid w:val="00EA23EE"/>
    <w:rsid w:val="00ED1D87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F5CFF3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8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15</cp:revision>
  <dcterms:created xsi:type="dcterms:W3CDTF">2025-04-10T13:30:00Z</dcterms:created>
  <dcterms:modified xsi:type="dcterms:W3CDTF">2025-04-17T06:08:00Z</dcterms:modified>
</cp:coreProperties>
</file>